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51" w:rsidRPr="00025451" w:rsidRDefault="00025451" w:rsidP="00025451">
      <w:pPr>
        <w:rPr>
          <w:b/>
          <w:sz w:val="24"/>
          <w:szCs w:val="24"/>
        </w:rPr>
      </w:pPr>
      <w:r w:rsidRPr="00025451">
        <w:rPr>
          <w:b/>
          <w:sz w:val="24"/>
          <w:szCs w:val="24"/>
        </w:rPr>
        <w:t>Tomica Gužvinec</w:t>
      </w:r>
    </w:p>
    <w:p w:rsidR="00025451" w:rsidRPr="00025451" w:rsidRDefault="00025451" w:rsidP="00025451">
      <w:pPr>
        <w:rPr>
          <w:b/>
          <w:sz w:val="24"/>
          <w:szCs w:val="24"/>
        </w:rPr>
      </w:pPr>
      <w:r w:rsidRPr="00025451">
        <w:rPr>
          <w:b/>
          <w:sz w:val="24"/>
          <w:szCs w:val="24"/>
        </w:rPr>
        <w:t>Osnovna škola Frana Krste Frankopana</w:t>
      </w:r>
    </w:p>
    <w:p w:rsidR="00025451" w:rsidRDefault="00025451" w:rsidP="00025451">
      <w:pPr>
        <w:rPr>
          <w:b/>
          <w:sz w:val="24"/>
          <w:szCs w:val="24"/>
        </w:rPr>
      </w:pPr>
      <w:r w:rsidRPr="00025451">
        <w:rPr>
          <w:b/>
          <w:sz w:val="24"/>
          <w:szCs w:val="24"/>
        </w:rPr>
        <w:t>Školska godina 2020./2021.</w:t>
      </w:r>
    </w:p>
    <w:p w:rsidR="00025451" w:rsidRDefault="00025451" w:rsidP="00025451">
      <w:pPr>
        <w:rPr>
          <w:b/>
          <w:sz w:val="24"/>
          <w:szCs w:val="24"/>
        </w:rPr>
      </w:pPr>
    </w:p>
    <w:p w:rsidR="00025451" w:rsidRPr="00025451" w:rsidRDefault="00025451" w:rsidP="000254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28"/>
          <w:szCs w:val="28"/>
        </w:rPr>
      </w:pPr>
      <w:r w:rsidRPr="00025451">
        <w:rPr>
          <w:b/>
          <w:color w:val="FF0000"/>
          <w:sz w:val="28"/>
          <w:szCs w:val="28"/>
        </w:rPr>
        <w:t>KRITERIJI OCJENJIVANJA U NASTAVI TJELESNE I ZDRAVSTVENE KULTURE</w:t>
      </w:r>
    </w:p>
    <w:p w:rsidR="00495C8F" w:rsidRDefault="00495C8F"/>
    <w:p w:rsidR="00495C8F" w:rsidRDefault="00025451">
      <w:r>
        <w:t xml:space="preserve">Za uspješno sudjelovanje u nastavi TZK potrebno je: </w:t>
      </w:r>
      <w:bookmarkStart w:id="0" w:name="_GoBack"/>
      <w:bookmarkEnd w:id="0"/>
    </w:p>
    <w:p w:rsidR="00495C8F" w:rsidRDefault="00495C8F"/>
    <w:p w:rsidR="00495C8F" w:rsidRPr="00025451" w:rsidRDefault="00025451">
      <w:pPr>
        <w:rPr>
          <w:b/>
        </w:rPr>
      </w:pPr>
      <w:r w:rsidRPr="00025451">
        <w:rPr>
          <w:b/>
        </w:rPr>
        <w:t xml:space="preserve">1. Redovito nošenje propisane opreme za vježbanje: </w:t>
      </w:r>
    </w:p>
    <w:p w:rsidR="00495C8F" w:rsidRPr="00025451" w:rsidRDefault="00025451">
      <w:r w:rsidRPr="00025451">
        <w:t xml:space="preserve">• bijela majica, </w:t>
      </w:r>
    </w:p>
    <w:p w:rsidR="00495C8F" w:rsidRPr="00025451" w:rsidRDefault="00025451">
      <w:r w:rsidRPr="00025451">
        <w:t xml:space="preserve">• dječaci sportske hlačice (plave boje) ,djevojčice sportske hlačice, trenirka ili tajice </w:t>
      </w:r>
      <w:r w:rsidRPr="00025451">
        <w:t>(plave ili crne boje)</w:t>
      </w:r>
    </w:p>
    <w:p w:rsidR="00495C8F" w:rsidRPr="00025451" w:rsidRDefault="00025451">
      <w:r w:rsidRPr="00025451">
        <w:t>• čiste sportske tenisice</w:t>
      </w:r>
    </w:p>
    <w:p w:rsidR="00495C8F" w:rsidRPr="00025451" w:rsidRDefault="00495C8F"/>
    <w:p w:rsidR="00025451" w:rsidRPr="00025451" w:rsidRDefault="00025451" w:rsidP="00025451">
      <w:pPr>
        <w:jc w:val="both"/>
      </w:pPr>
      <w:r w:rsidRPr="00025451">
        <w:t xml:space="preserve"> Učenici moraju biti na nastavi tjelesne i zdravstvene kulture jednoobrazno obučeni (bijela </w:t>
      </w:r>
      <w:r w:rsidRPr="00025451">
        <w:t xml:space="preserve">majica, donji dio sportske odjeće, tenisice). Isto tako, moraju biti obučeni da njihova </w:t>
      </w:r>
      <w:r w:rsidRPr="00025451">
        <w:t>odjeća i obuća ne može</w:t>
      </w:r>
      <w:r w:rsidRPr="00025451">
        <w:t xml:space="preserve"> izazvati samoozljeđivanje (preširoke majice, nezavezane sportske tenisice, </w:t>
      </w:r>
      <w:r w:rsidRPr="00025451">
        <w:t xml:space="preserve">povezana kosa). Na sebi i kod sebe ne smiju imati predmete kojim mogu ozlijediti sebe ili druge </w:t>
      </w:r>
      <w:r w:rsidRPr="00025451">
        <w:t>(sat, prsten, naušnica, narukvica  ili pir</w:t>
      </w:r>
      <w:r w:rsidRPr="00025451">
        <w:t xml:space="preserve">sing). </w:t>
      </w:r>
    </w:p>
    <w:p w:rsidR="00025451" w:rsidRPr="00025451" w:rsidRDefault="00025451" w:rsidP="00025451">
      <w:pPr>
        <w:jc w:val="both"/>
      </w:pPr>
      <w:r w:rsidRPr="00025451">
        <w:t>Sve vrij</w:t>
      </w:r>
      <w:r w:rsidRPr="00025451">
        <w:t xml:space="preserve">ednije stvari npr. </w:t>
      </w:r>
      <w:r w:rsidRPr="00025451">
        <w:t>novac, mobitel</w:t>
      </w:r>
      <w:r w:rsidRPr="00025451">
        <w:t xml:space="preserve"> trebaju na početku </w:t>
      </w:r>
      <w:r w:rsidRPr="00025451">
        <w:t xml:space="preserve">sata predati  nastavniku TZK da bi se spriječio njihov nestanak. </w:t>
      </w:r>
    </w:p>
    <w:p w:rsidR="00495C8F" w:rsidRPr="00025451" w:rsidRDefault="00025451" w:rsidP="00025451">
      <w:pPr>
        <w:jc w:val="both"/>
      </w:pPr>
      <w:r w:rsidRPr="00025451">
        <w:t xml:space="preserve">Žvakanje žvakaće gume nije </w:t>
      </w:r>
      <w:r w:rsidRPr="00025451">
        <w:t>dozvoljeno za vrijeme  nastave.</w:t>
      </w:r>
    </w:p>
    <w:p w:rsidR="00495C8F" w:rsidRPr="00025451" w:rsidRDefault="00495C8F"/>
    <w:p w:rsidR="00495C8F" w:rsidRPr="00025451" w:rsidRDefault="00025451">
      <w:pPr>
        <w:rPr>
          <w:b/>
        </w:rPr>
      </w:pPr>
      <w:r w:rsidRPr="00025451">
        <w:rPr>
          <w:b/>
        </w:rPr>
        <w:t xml:space="preserve">2. Redovito sudjelovanje tijekom nastavnog sata </w:t>
      </w:r>
    </w:p>
    <w:p w:rsidR="00495C8F" w:rsidRPr="00025451" w:rsidRDefault="00025451">
      <w:pPr>
        <w:rPr>
          <w:b/>
        </w:rPr>
      </w:pPr>
      <w:r w:rsidRPr="00025451">
        <w:rPr>
          <w:b/>
        </w:rPr>
        <w:t>3. Aktivno sudjelovanje na mjerenjima, testiranjima i pro</w:t>
      </w:r>
      <w:r w:rsidRPr="00025451">
        <w:rPr>
          <w:b/>
        </w:rPr>
        <w:t xml:space="preserve">vjerama </w:t>
      </w:r>
    </w:p>
    <w:p w:rsidR="00495C8F" w:rsidRPr="00025451" w:rsidRDefault="00025451">
      <w:pPr>
        <w:rPr>
          <w:b/>
        </w:rPr>
      </w:pPr>
      <w:r w:rsidRPr="00025451">
        <w:rPr>
          <w:b/>
        </w:rPr>
        <w:t xml:space="preserve">4. Napredak </w:t>
      </w:r>
      <w:r w:rsidRPr="00025451">
        <w:rPr>
          <w:b/>
        </w:rPr>
        <w:t xml:space="preserve">funkcionalnih i motoričkih sposobnosti </w:t>
      </w:r>
    </w:p>
    <w:p w:rsidR="00495C8F" w:rsidRPr="00025451" w:rsidRDefault="00025451">
      <w:pPr>
        <w:rPr>
          <w:b/>
        </w:rPr>
      </w:pPr>
      <w:r w:rsidRPr="00025451">
        <w:rPr>
          <w:b/>
        </w:rPr>
        <w:t xml:space="preserve">5. Stanje i rezultati u motoričkim postignućima </w:t>
      </w:r>
    </w:p>
    <w:p w:rsidR="00025451" w:rsidRPr="00025451" w:rsidRDefault="00025451" w:rsidP="00025451">
      <w:r w:rsidRPr="00025451">
        <w:rPr>
          <w:b/>
        </w:rPr>
        <w:t xml:space="preserve">6. Usvojenost znanja i vještina, ostalih objektivnih sastavnica (sudjelovanje u sekcijama sportskog </w:t>
      </w:r>
      <w:r w:rsidRPr="00025451">
        <w:rPr>
          <w:b/>
        </w:rPr>
        <w:t>društva škole)</w:t>
      </w:r>
      <w:r w:rsidRPr="00025451">
        <w:t xml:space="preserve"> </w:t>
      </w:r>
    </w:p>
    <w:p w:rsidR="00025451" w:rsidRPr="00025451" w:rsidRDefault="00025451" w:rsidP="00025451">
      <w:pPr>
        <w:rPr>
          <w:b/>
          <w:color w:val="FF0000"/>
        </w:rPr>
      </w:pPr>
    </w:p>
    <w:p w:rsidR="00495C8F" w:rsidRPr="00025451" w:rsidRDefault="00025451" w:rsidP="0002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</w:rPr>
      </w:pPr>
      <w:r w:rsidRPr="00025451">
        <w:rPr>
          <w:b/>
          <w:color w:val="548DD4" w:themeColor="text2" w:themeTint="99"/>
          <w:sz w:val="24"/>
          <w:szCs w:val="24"/>
        </w:rPr>
        <w:t>Zaključna ocjena n</w:t>
      </w:r>
      <w:r w:rsidRPr="00025451">
        <w:rPr>
          <w:b/>
          <w:color w:val="548DD4" w:themeColor="text2" w:themeTint="99"/>
          <w:sz w:val="24"/>
          <w:szCs w:val="24"/>
        </w:rPr>
        <w:t>ije aritmetički prosjek upisanih ocjena.</w:t>
      </w:r>
    </w:p>
    <w:p w:rsidR="00495C8F" w:rsidRDefault="00495C8F"/>
    <w:p w:rsidR="00495C8F" w:rsidRDefault="00495C8F">
      <w:pPr>
        <w:rPr>
          <w:rFonts w:cs="Calibri"/>
          <w:b/>
          <w:sz w:val="28"/>
          <w:szCs w:val="28"/>
        </w:rPr>
      </w:pPr>
    </w:p>
    <w:p w:rsidR="00025451" w:rsidRDefault="00025451">
      <w:pPr>
        <w:jc w:val="center"/>
        <w:rPr>
          <w:rFonts w:cs="Calibri"/>
          <w:b/>
          <w:sz w:val="28"/>
          <w:szCs w:val="28"/>
        </w:rPr>
      </w:pPr>
    </w:p>
    <w:p w:rsidR="00495C8F" w:rsidRPr="00025451" w:rsidRDefault="00025451">
      <w:pPr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</w:t>
      </w:r>
      <w:r w:rsidRPr="00025451">
        <w:rPr>
          <w:rFonts w:cs="Calibri"/>
          <w:b/>
          <w:color w:val="FF0000"/>
          <w:sz w:val="28"/>
          <w:szCs w:val="28"/>
        </w:rPr>
        <w:t>OCJENJIVANJE</w:t>
      </w:r>
    </w:p>
    <w:p w:rsidR="00495C8F" w:rsidRDefault="00495C8F">
      <w:pPr>
        <w:jc w:val="center"/>
        <w:rPr>
          <w:rFonts w:cs="Calibri"/>
          <w:b/>
          <w:sz w:val="28"/>
          <w:szCs w:val="28"/>
          <w:u w:val="single"/>
        </w:rPr>
      </w:pPr>
    </w:p>
    <w:p w:rsidR="00495C8F" w:rsidRDefault="00025451">
      <w:pPr>
        <w:ind w:firstLine="360"/>
        <w:jc w:val="both"/>
        <w:rPr>
          <w:sz w:val="24"/>
        </w:rPr>
      </w:pPr>
      <w:r>
        <w:rPr>
          <w:sz w:val="24"/>
        </w:rPr>
        <w:t xml:space="preserve">Ocjenjivanje je postupak kojim se na ugovoreni način izražava uspjeh učenika tj. postupak kojim se na način utvrđen propisima prati njegov odgojno-obrazovni razvoj i utvđuje razina koju je u tome </w:t>
      </w:r>
      <w:r>
        <w:rPr>
          <w:sz w:val="24"/>
        </w:rPr>
        <w:t>postigao.</w:t>
      </w:r>
    </w:p>
    <w:p w:rsidR="00495C8F" w:rsidRDefault="00025451">
      <w:pPr>
        <w:jc w:val="both"/>
        <w:rPr>
          <w:sz w:val="24"/>
        </w:rPr>
      </w:pPr>
      <w:r>
        <w:rPr>
          <w:sz w:val="24"/>
        </w:rPr>
        <w:t>Elementi ocjenjivanja u nastavi TZK su:</w:t>
      </w:r>
    </w:p>
    <w:p w:rsidR="00495C8F" w:rsidRPr="00025451" w:rsidRDefault="00025451">
      <w:pPr>
        <w:numPr>
          <w:ilvl w:val="0"/>
          <w:numId w:val="1"/>
        </w:numPr>
        <w:spacing w:after="0" w:line="240" w:lineRule="auto"/>
        <w:jc w:val="both"/>
        <w:rPr>
          <w:b/>
          <w:color w:val="0070C0"/>
          <w:sz w:val="24"/>
        </w:rPr>
      </w:pPr>
      <w:r w:rsidRPr="00025451">
        <w:rPr>
          <w:b/>
          <w:color w:val="0070C0"/>
          <w:sz w:val="24"/>
        </w:rPr>
        <w:t>motorička znanja</w:t>
      </w:r>
    </w:p>
    <w:p w:rsidR="00495C8F" w:rsidRPr="00025451" w:rsidRDefault="00025451">
      <w:pPr>
        <w:numPr>
          <w:ilvl w:val="0"/>
          <w:numId w:val="1"/>
        </w:numPr>
        <w:spacing w:after="0" w:line="240" w:lineRule="auto"/>
        <w:jc w:val="both"/>
        <w:rPr>
          <w:b/>
          <w:color w:val="0070C0"/>
          <w:sz w:val="24"/>
        </w:rPr>
      </w:pPr>
      <w:r w:rsidRPr="00025451">
        <w:rPr>
          <w:b/>
          <w:color w:val="0070C0"/>
          <w:sz w:val="24"/>
        </w:rPr>
        <w:t>motorička postignuća</w:t>
      </w:r>
    </w:p>
    <w:p w:rsidR="00495C8F" w:rsidRPr="00025451" w:rsidRDefault="00025451">
      <w:pPr>
        <w:numPr>
          <w:ilvl w:val="0"/>
          <w:numId w:val="1"/>
        </w:numPr>
        <w:spacing w:after="0" w:line="240" w:lineRule="auto"/>
        <w:jc w:val="both"/>
        <w:rPr>
          <w:b/>
          <w:color w:val="0070C0"/>
          <w:sz w:val="24"/>
        </w:rPr>
      </w:pPr>
      <w:r w:rsidRPr="00025451">
        <w:rPr>
          <w:b/>
          <w:color w:val="0070C0"/>
          <w:sz w:val="24"/>
        </w:rPr>
        <w:t>aktivnost učenika i odgojni učinci</w:t>
      </w:r>
    </w:p>
    <w:p w:rsidR="00495C8F" w:rsidRDefault="00495C8F">
      <w:pPr>
        <w:spacing w:after="0" w:line="240" w:lineRule="auto"/>
        <w:jc w:val="both"/>
        <w:rPr>
          <w:sz w:val="24"/>
        </w:rPr>
      </w:pPr>
    </w:p>
    <w:p w:rsidR="00495C8F" w:rsidRDefault="00495C8F">
      <w:pPr>
        <w:spacing w:after="0" w:line="240" w:lineRule="auto"/>
        <w:jc w:val="both"/>
        <w:rPr>
          <w:sz w:val="24"/>
        </w:rPr>
      </w:pPr>
    </w:p>
    <w:p w:rsidR="00495C8F" w:rsidRDefault="00495C8F">
      <w:pPr>
        <w:spacing w:after="0" w:line="240" w:lineRule="auto"/>
        <w:jc w:val="both"/>
        <w:rPr>
          <w:sz w:val="24"/>
        </w:rPr>
      </w:pPr>
    </w:p>
    <w:p w:rsidR="00495C8F" w:rsidRDefault="00495C8F">
      <w:pPr>
        <w:spacing w:after="0" w:line="240" w:lineRule="auto"/>
        <w:jc w:val="both"/>
        <w:rPr>
          <w:sz w:val="24"/>
        </w:rPr>
      </w:pPr>
    </w:p>
    <w:p w:rsidR="00495C8F" w:rsidRPr="00025451" w:rsidRDefault="00025451" w:rsidP="00025451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color w:val="FF0000"/>
          <w:sz w:val="24"/>
        </w:rPr>
      </w:pPr>
      <w:r w:rsidRPr="00025451">
        <w:rPr>
          <w:rFonts w:cs="Calibri"/>
          <w:b/>
          <w:color w:val="FF0000"/>
          <w:sz w:val="28"/>
          <w:szCs w:val="28"/>
        </w:rPr>
        <w:t>OCJENJIVANJE  MOTORIČKIH ZNANJA</w:t>
      </w:r>
    </w:p>
    <w:p w:rsidR="00495C8F" w:rsidRDefault="00495C8F"/>
    <w:p w:rsidR="00495C8F" w:rsidRDefault="00025451">
      <w:pPr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Predmetno područje motorička znanja, ističe usvajanje, usavršavanje i primjenu raznovrsnih kinez</w:t>
      </w:r>
      <w:r>
        <w:rPr>
          <w:rFonts w:cs="Calibri"/>
          <w:sz w:val="24"/>
          <w:szCs w:val="28"/>
        </w:rPr>
        <w:t>ioloških motoričkih znanja i vještina, čijim se svladavanjem ostvaruje određena kompetencija učenika uključujući i motoričku pismenost. Učenici će stečena znanja i vještine moći koristiti u kineziološkim aktivnostima, čime se izrazito utječe na aktivno pro</w:t>
      </w:r>
      <w:r>
        <w:rPr>
          <w:rFonts w:cs="Calibri"/>
          <w:sz w:val="24"/>
          <w:szCs w:val="28"/>
        </w:rPr>
        <w:t>vođenje slobodnog vremena, podizanje ukupne kvalitete življenja i unapređenje zdravlja.</w:t>
      </w:r>
    </w:p>
    <w:p w:rsidR="00495C8F" w:rsidRDefault="00495C8F">
      <w:pPr>
        <w:rPr>
          <w:rFonts w:cs="Calibri"/>
          <w:sz w:val="24"/>
          <w:szCs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1846"/>
        <w:gridCol w:w="7440"/>
      </w:tblGrid>
      <w:tr w:rsidR="00495C8F">
        <w:tc>
          <w:tcPr>
            <w:tcW w:w="9285" w:type="dxa"/>
            <w:gridSpan w:val="2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OPĆENITI KRITERIJ OCJENJIVANJA MOTORIČKIH ZNANJA </w:t>
            </w:r>
          </w:p>
        </w:tc>
      </w:tr>
      <w:tr w:rsidR="00495C8F">
        <w:tc>
          <w:tcPr>
            <w:tcW w:w="1846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Odličan (5)</w:t>
            </w:r>
          </w:p>
        </w:tc>
        <w:tc>
          <w:tcPr>
            <w:tcW w:w="7439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Učenik pravilno izvodi gibanje bez odstupanja od standardne izvedbe ili su ona nebitna. </w:t>
            </w:r>
          </w:p>
        </w:tc>
      </w:tr>
      <w:tr w:rsidR="00495C8F">
        <w:tc>
          <w:tcPr>
            <w:tcW w:w="1846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Vrlo dobar (4)</w:t>
            </w:r>
          </w:p>
        </w:tc>
        <w:tc>
          <w:tcPr>
            <w:tcW w:w="7439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Učenik sve dijelove gibanja izvodi pravilno uz manja odstupanja tj. manje pogreške. </w:t>
            </w:r>
          </w:p>
        </w:tc>
      </w:tr>
      <w:tr w:rsidR="00495C8F">
        <w:tc>
          <w:tcPr>
            <w:tcW w:w="1846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Dobar (3)</w:t>
            </w:r>
          </w:p>
        </w:tc>
        <w:tc>
          <w:tcPr>
            <w:tcW w:w="7439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Učenik izvodi gibanje uz značajna odstupanja od osnovne strukture sa većim pogreškama ili uz asistenciju. </w:t>
            </w:r>
          </w:p>
        </w:tc>
      </w:tr>
      <w:tr w:rsidR="00495C8F">
        <w:trPr>
          <w:trHeight w:val="64"/>
        </w:trPr>
        <w:tc>
          <w:tcPr>
            <w:tcW w:w="1846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Dovoljan (2)</w:t>
            </w:r>
          </w:p>
        </w:tc>
        <w:tc>
          <w:tcPr>
            <w:tcW w:w="7439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Učenik izvodi gibanje uz velike pogreš</w:t>
            </w:r>
            <w:r>
              <w:rPr>
                <w:rFonts w:cs="Calibri"/>
                <w:sz w:val="24"/>
              </w:rPr>
              <w:t xml:space="preserve">ke ali se prepoznaje osnovna struktura gibanja. </w:t>
            </w:r>
          </w:p>
        </w:tc>
      </w:tr>
      <w:tr w:rsidR="00495C8F">
        <w:tc>
          <w:tcPr>
            <w:tcW w:w="1846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Nedovoljan (1)</w:t>
            </w:r>
          </w:p>
        </w:tc>
        <w:tc>
          <w:tcPr>
            <w:tcW w:w="7439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Ukoliko učenik ne želi izvesti zadatak.</w:t>
            </w:r>
          </w:p>
        </w:tc>
      </w:tr>
    </w:tbl>
    <w:p w:rsidR="00495C8F" w:rsidRDefault="00495C8F"/>
    <w:p w:rsidR="00495C8F" w:rsidRDefault="00495C8F">
      <w:pPr>
        <w:jc w:val="center"/>
      </w:pPr>
    </w:p>
    <w:p w:rsidR="00495C8F" w:rsidRDefault="00495C8F">
      <w:pPr>
        <w:jc w:val="center"/>
        <w:rPr>
          <w:rFonts w:cs="Calibri"/>
          <w:b/>
          <w:sz w:val="28"/>
          <w:szCs w:val="28"/>
        </w:rPr>
      </w:pPr>
    </w:p>
    <w:p w:rsidR="00495C8F" w:rsidRPr="00025451" w:rsidRDefault="00025451" w:rsidP="00025451">
      <w:pPr>
        <w:pStyle w:val="ListParagraph"/>
        <w:numPr>
          <w:ilvl w:val="0"/>
          <w:numId w:val="8"/>
        </w:numPr>
        <w:jc w:val="center"/>
        <w:rPr>
          <w:rFonts w:cs="Calibri"/>
          <w:b/>
          <w:color w:val="FF0000"/>
          <w:sz w:val="28"/>
          <w:szCs w:val="28"/>
        </w:rPr>
      </w:pPr>
      <w:r w:rsidRPr="00025451">
        <w:rPr>
          <w:rFonts w:cs="Calibri"/>
          <w:b/>
          <w:color w:val="FF0000"/>
          <w:sz w:val="28"/>
          <w:szCs w:val="28"/>
        </w:rPr>
        <w:t>OCJENJIVANJE  MOTORIČKIH POSTIGNUĆA</w:t>
      </w:r>
    </w:p>
    <w:p w:rsidR="00495C8F" w:rsidRDefault="00495C8F">
      <w:pPr>
        <w:jc w:val="center"/>
        <w:rPr>
          <w:rFonts w:cs="Calibri"/>
          <w:b/>
          <w:sz w:val="28"/>
          <w:szCs w:val="28"/>
        </w:rPr>
      </w:pPr>
    </w:p>
    <w:p w:rsidR="00495C8F" w:rsidRDefault="00025451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Motorička postignuća su sprega motoričkih znanja i motoričkih sposobnosti, a izražavaju se putem sposobnosti </w:t>
      </w:r>
      <w:r>
        <w:rPr>
          <w:rFonts w:cstheme="minorHAnsi"/>
          <w:sz w:val="24"/>
          <w:szCs w:val="28"/>
        </w:rPr>
        <w:t>učenika da ih u konkretnoj motoričkoj aktivnosti poveže i maksimalno iskoristi radi postizanja što boljeg rezultata.</w:t>
      </w:r>
      <w:r>
        <w:rPr>
          <w:rFonts w:cstheme="minorHAnsi"/>
        </w:rPr>
        <w:t xml:space="preserve"> </w:t>
      </w:r>
      <w:r>
        <w:rPr>
          <w:rFonts w:cstheme="minorHAnsi"/>
          <w:sz w:val="24"/>
          <w:szCs w:val="28"/>
        </w:rPr>
        <w:t>Ovo predmetno područje razmatra učinke procesa vježbanja koji se uglavnom izražavaju rezultatima postignutim u pojedinim kineziološkim akti</w:t>
      </w:r>
      <w:r>
        <w:rPr>
          <w:rFonts w:cstheme="minorHAnsi"/>
          <w:sz w:val="24"/>
          <w:szCs w:val="28"/>
        </w:rPr>
        <w:t>vnostima. Motorička postignuća provjeravamo i ocjenjujemo pomoću mjerenja pri čemu kao rezultat dobijemo konkretne vrijednosti izražene brojkom i jedinicom mjere (metar, minuta, broj postignutih ponavljanja).</w:t>
      </w:r>
    </w:p>
    <w:p w:rsidR="00495C8F" w:rsidRDefault="00025451">
      <w:pPr>
        <w:jc w:val="both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>OCJENOM:</w:t>
      </w:r>
    </w:p>
    <w:tbl>
      <w:tblPr>
        <w:tblW w:w="10683" w:type="dxa"/>
        <w:tblLook w:val="04A0" w:firstRow="1" w:lastRow="0" w:firstColumn="1" w:lastColumn="0" w:noHBand="0" w:noVBand="1"/>
      </w:tblPr>
      <w:tblGrid>
        <w:gridCol w:w="10683"/>
      </w:tblGrid>
      <w:tr w:rsidR="00495C8F">
        <w:trPr>
          <w:trHeight w:val="543"/>
        </w:trPr>
        <w:tc>
          <w:tcPr>
            <w:tcW w:w="10683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Odličan (5)</w:t>
            </w:r>
            <w:r>
              <w:rPr>
                <w:rFonts w:cs="Calibri"/>
                <w:sz w:val="24"/>
              </w:rPr>
              <w:t xml:space="preserve"> – bit će ocijenjen rezulta</w:t>
            </w:r>
            <w:r>
              <w:rPr>
                <w:rFonts w:cs="Calibri"/>
                <w:sz w:val="24"/>
              </w:rPr>
              <w:t>t koji se nalazi u prvoj četvrtini po vrijednosti dobivenih rezultata</w:t>
            </w:r>
          </w:p>
        </w:tc>
      </w:tr>
      <w:tr w:rsidR="00495C8F">
        <w:trPr>
          <w:trHeight w:val="528"/>
        </w:trPr>
        <w:tc>
          <w:tcPr>
            <w:tcW w:w="10683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Vrlo dobar (4)</w:t>
            </w:r>
            <w:r>
              <w:rPr>
                <w:rFonts w:cs="Calibri"/>
                <w:sz w:val="24"/>
              </w:rPr>
              <w:t xml:space="preserve"> – bit će rezultat druge četvrtine dobivenih rezultata</w:t>
            </w:r>
          </w:p>
        </w:tc>
      </w:tr>
      <w:tr w:rsidR="00495C8F">
        <w:trPr>
          <w:trHeight w:val="543"/>
        </w:trPr>
        <w:tc>
          <w:tcPr>
            <w:tcW w:w="10683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Dobar (3)</w:t>
            </w:r>
            <w:r>
              <w:rPr>
                <w:rFonts w:cs="Calibri"/>
                <w:sz w:val="24"/>
              </w:rPr>
              <w:t xml:space="preserve"> – svi rezultati u trećoj po vrijednosti četvrtini </w:t>
            </w:r>
          </w:p>
        </w:tc>
      </w:tr>
      <w:tr w:rsidR="00495C8F">
        <w:trPr>
          <w:trHeight w:val="64"/>
        </w:trPr>
        <w:tc>
          <w:tcPr>
            <w:tcW w:w="10683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Dovoljan (2)</w:t>
            </w:r>
            <w:r>
              <w:rPr>
                <w:rFonts w:cs="Calibri"/>
                <w:sz w:val="24"/>
              </w:rPr>
              <w:t xml:space="preserve"> – svi rezultati u posljednoj po vrijedno</w:t>
            </w:r>
            <w:r>
              <w:rPr>
                <w:rFonts w:cs="Calibri"/>
                <w:sz w:val="24"/>
              </w:rPr>
              <w:t>sti četvrtini izmjerenih rezultata</w:t>
            </w:r>
          </w:p>
        </w:tc>
      </w:tr>
      <w:tr w:rsidR="00495C8F">
        <w:trPr>
          <w:trHeight w:val="543"/>
        </w:trPr>
        <w:tc>
          <w:tcPr>
            <w:tcW w:w="10683" w:type="dxa"/>
            <w:shd w:val="clear" w:color="auto" w:fill="auto"/>
          </w:tcPr>
          <w:p w:rsidR="00495C8F" w:rsidRDefault="00025451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Nedovoljan (1)</w:t>
            </w:r>
            <w:r>
              <w:rPr>
                <w:rFonts w:cs="Calibri"/>
                <w:sz w:val="24"/>
              </w:rPr>
              <w:t xml:space="preserve"> – je ocjena za nepotrebno odustajanje, povredu pravila, diskvalifikaciju i sl.</w:t>
            </w:r>
          </w:p>
          <w:p w:rsidR="00495C8F" w:rsidRDefault="00495C8F">
            <w:pPr>
              <w:jc w:val="both"/>
              <w:rPr>
                <w:rFonts w:cs="Calibri"/>
                <w:sz w:val="24"/>
              </w:rPr>
            </w:pPr>
          </w:p>
          <w:p w:rsidR="00495C8F" w:rsidRDefault="00495C8F">
            <w:pPr>
              <w:jc w:val="center"/>
              <w:rPr>
                <w:rFonts w:cs="Calibri"/>
                <w:sz w:val="24"/>
              </w:rPr>
            </w:pPr>
          </w:p>
          <w:p w:rsidR="00495C8F" w:rsidRPr="00025451" w:rsidRDefault="00025451" w:rsidP="000254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Calibri"/>
                <w:b/>
                <w:color w:val="FF0000"/>
                <w:sz w:val="28"/>
                <w:szCs w:val="28"/>
              </w:rPr>
            </w:pPr>
            <w:r w:rsidRPr="00025451">
              <w:rPr>
                <w:rFonts w:cs="Calibri"/>
                <w:b/>
                <w:color w:val="FF0000"/>
                <w:sz w:val="28"/>
                <w:szCs w:val="28"/>
              </w:rPr>
              <w:t>OCJENJIVANJE AKTIVNOSTI UČENIKA I ODGOJNIH UČINAKA</w:t>
            </w:r>
          </w:p>
          <w:p w:rsidR="00495C8F" w:rsidRDefault="00495C8F">
            <w:pPr>
              <w:rPr>
                <w:rFonts w:cs="Calibri"/>
                <w:b/>
                <w:sz w:val="28"/>
                <w:szCs w:val="28"/>
              </w:rPr>
            </w:pPr>
          </w:p>
          <w:p w:rsidR="00495C8F" w:rsidRDefault="00025451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Aktivnost učenika i odgojne učinke, učitelj procjenjuje na temelju subjektivnog zapažanja. </w:t>
            </w:r>
          </w:p>
          <w:p w:rsidR="00495C8F" w:rsidRDefault="00025451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Aktivnost učenika i odgojni učinci ocjenjuju se 5. - 10. puta godišnje, na temelju zabilježenih </w:t>
            </w:r>
          </w:p>
          <w:p w:rsidR="00495C8F" w:rsidRDefault="00025451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zapažanja učitelja te ostalih varijabli. </w:t>
            </w:r>
          </w:p>
          <w:p w:rsidR="00495C8F" w:rsidRDefault="00025451">
            <w:pPr>
              <w:tabs>
                <w:tab w:val="left" w:pos="99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Procjenjuju se praćenjem </w:t>
            </w:r>
            <w:r>
              <w:rPr>
                <w:sz w:val="24"/>
              </w:rPr>
              <w:t>i provjeravanjem ovih varijabli:</w:t>
            </w:r>
          </w:p>
          <w:p w:rsidR="00495C8F" w:rsidRDefault="00025451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aktivnost učenika u nastavi TZK i vladanje na satu</w:t>
            </w:r>
          </w:p>
          <w:p w:rsidR="00495C8F" w:rsidRDefault="00025451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sudjelovanje učenika u izvannastavnim aktivnostima u TZK</w:t>
            </w:r>
          </w:p>
          <w:p w:rsidR="00495C8F" w:rsidRDefault="00025451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stečene zdravstveno-higijenske navike (nošenje opreme, higijena odjeće i obuće te osobna</w:t>
            </w:r>
          </w:p>
          <w:p w:rsidR="00495C8F" w:rsidRDefault="00025451">
            <w:pPr>
              <w:pStyle w:val="ListParagraph"/>
              <w:tabs>
                <w:tab w:val="left" w:pos="993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higijena)</w:t>
            </w:r>
          </w:p>
          <w:p w:rsidR="00495C8F" w:rsidRDefault="00025451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teorijska </w:t>
            </w:r>
            <w:r>
              <w:rPr>
                <w:sz w:val="24"/>
              </w:rPr>
              <w:t>znanja</w:t>
            </w:r>
          </w:p>
          <w:p w:rsidR="00495C8F" w:rsidRDefault="00495C8F">
            <w:pPr>
              <w:tabs>
                <w:tab w:val="left" w:pos="993"/>
              </w:tabs>
              <w:rPr>
                <w:rFonts w:cs="Calibri"/>
                <w:sz w:val="24"/>
                <w:szCs w:val="24"/>
              </w:rPr>
            </w:pPr>
          </w:p>
          <w:p w:rsidR="00495C8F" w:rsidRDefault="00495C8F">
            <w:pPr>
              <w:tabs>
                <w:tab w:val="left" w:pos="993"/>
              </w:tabs>
            </w:pPr>
          </w:p>
          <w:p w:rsidR="00495C8F" w:rsidRDefault="00495C8F">
            <w:pPr>
              <w:tabs>
                <w:tab w:val="left" w:pos="993"/>
              </w:tabs>
              <w:jc w:val="center"/>
              <w:rPr>
                <w:rFonts w:cs="Calibri"/>
                <w:b/>
                <w:sz w:val="28"/>
              </w:rPr>
            </w:pPr>
          </w:p>
          <w:p w:rsidR="00495C8F" w:rsidRPr="00025451" w:rsidRDefault="00025451" w:rsidP="00025451">
            <w:pPr>
              <w:pStyle w:val="ListParagraph"/>
              <w:numPr>
                <w:ilvl w:val="0"/>
                <w:numId w:val="8"/>
              </w:numPr>
              <w:tabs>
                <w:tab w:val="left" w:pos="993"/>
              </w:tabs>
              <w:jc w:val="center"/>
              <w:rPr>
                <w:rFonts w:cs="Calibri"/>
                <w:b/>
                <w:color w:val="FF0000"/>
                <w:sz w:val="28"/>
              </w:rPr>
            </w:pPr>
            <w:r w:rsidRPr="00025451">
              <w:rPr>
                <w:rFonts w:cs="Calibri"/>
                <w:b/>
                <w:color w:val="FF0000"/>
                <w:sz w:val="28"/>
              </w:rPr>
              <w:lastRenderedPageBreak/>
              <w:t>ZAKLJUČNA OCJENA</w:t>
            </w:r>
          </w:p>
          <w:p w:rsidR="00495C8F" w:rsidRDefault="00495C8F">
            <w:pPr>
              <w:tabs>
                <w:tab w:val="left" w:pos="993"/>
              </w:tabs>
              <w:jc w:val="center"/>
              <w:rPr>
                <w:rFonts w:cs="Calibri"/>
                <w:b/>
                <w:sz w:val="28"/>
              </w:rPr>
            </w:pPr>
          </w:p>
          <w:p w:rsidR="00495C8F" w:rsidRDefault="00025451">
            <w:pPr>
              <w:tabs>
                <w:tab w:val="left" w:pos="993"/>
              </w:tabs>
              <w:spacing w:after="0"/>
              <w:rPr>
                <w:rFonts w:cs="Calibri"/>
                <w:b/>
                <w:sz w:val="28"/>
              </w:rPr>
            </w:pPr>
            <w:r>
              <w:rPr>
                <w:rFonts w:cs="Calibri"/>
                <w:sz w:val="24"/>
              </w:rPr>
              <w:t>Zaključna ocjena donosi se na temelju prethodno obavljenih radnji (praćenja, provjeravanj i ocjenjivanja).</w:t>
            </w:r>
          </w:p>
          <w:p w:rsidR="00495C8F" w:rsidRDefault="00025451">
            <w:pPr>
              <w:spacing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Sastavnice zaključne ocjene:</w:t>
            </w:r>
          </w:p>
          <w:p w:rsidR="00495C8F" w:rsidRDefault="00025451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Motorička  znanja – 40%</w:t>
            </w:r>
          </w:p>
          <w:p w:rsidR="00495C8F" w:rsidRDefault="00025451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Motorička  postignuća – 20%</w:t>
            </w:r>
          </w:p>
          <w:p w:rsidR="00495C8F" w:rsidRDefault="00025451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Aktivnost učenika i odgojni učinci</w:t>
            </w:r>
            <w:r>
              <w:rPr>
                <w:rFonts w:cs="Calibri"/>
                <w:sz w:val="24"/>
                <w:szCs w:val="24"/>
              </w:rPr>
              <w:t xml:space="preserve"> – 40%</w:t>
            </w:r>
          </w:p>
        </w:tc>
      </w:tr>
    </w:tbl>
    <w:p w:rsidR="00495C8F" w:rsidRDefault="00495C8F">
      <w:pPr>
        <w:jc w:val="both"/>
        <w:rPr>
          <w:rFonts w:cs="Calibri"/>
          <w:b/>
          <w:sz w:val="24"/>
          <w:szCs w:val="28"/>
        </w:rPr>
      </w:pPr>
    </w:p>
    <w:p w:rsidR="00495C8F" w:rsidRPr="00025451" w:rsidRDefault="00025451" w:rsidP="00025451">
      <w:pPr>
        <w:jc w:val="center"/>
        <w:rPr>
          <w:color w:val="0070C0"/>
        </w:rPr>
      </w:pPr>
      <w:r w:rsidRPr="00025451">
        <w:rPr>
          <w:b/>
          <w:color w:val="0070C0"/>
          <w:sz w:val="24"/>
          <w:szCs w:val="24"/>
          <w:bdr w:val="single" w:sz="4" w:space="0" w:color="auto"/>
        </w:rPr>
        <w:t>Zaključna ocjena nije aritmetički prosjek upisanih ocjena.</w:t>
      </w:r>
      <w:r w:rsidRPr="00025451">
        <w:rPr>
          <w:color w:val="0070C0"/>
        </w:rPr>
        <w:br/>
      </w:r>
    </w:p>
    <w:p w:rsidR="00495C8F" w:rsidRDefault="00495C8F"/>
    <w:sectPr w:rsidR="00495C8F" w:rsidSect="00025451">
      <w:pgSz w:w="11906" w:h="16838"/>
      <w:pgMar w:top="851" w:right="1418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3531"/>
    <w:multiLevelType w:val="multilevel"/>
    <w:tmpl w:val="C43A9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270A72"/>
    <w:multiLevelType w:val="multilevel"/>
    <w:tmpl w:val="DE228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2471E4"/>
    <w:multiLevelType w:val="multilevel"/>
    <w:tmpl w:val="202EF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603CD3"/>
    <w:multiLevelType w:val="multilevel"/>
    <w:tmpl w:val="65863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A514E8"/>
    <w:multiLevelType w:val="hybridMultilevel"/>
    <w:tmpl w:val="08D644AE"/>
    <w:lvl w:ilvl="0" w:tplc="4DC29CE2">
      <w:start w:val="1"/>
      <w:numFmt w:val="decimal"/>
      <w:lvlText w:val="%1.)"/>
      <w:lvlJc w:val="left"/>
      <w:pPr>
        <w:ind w:left="720" w:hanging="360"/>
      </w:pPr>
      <w:rPr>
        <w:rFonts w:cs="Calibri"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76E6"/>
    <w:multiLevelType w:val="multilevel"/>
    <w:tmpl w:val="521EB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740DD5"/>
    <w:multiLevelType w:val="multilevel"/>
    <w:tmpl w:val="D09EEF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EA25CB6"/>
    <w:multiLevelType w:val="multilevel"/>
    <w:tmpl w:val="0846B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5C8F"/>
    <w:rsid w:val="00025451"/>
    <w:rsid w:val="004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3733-B2E2-464C-BB39-BC2E231E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22C13"/>
    <w:pPr>
      <w:ind w:left="720"/>
      <w:contextualSpacing/>
    </w:pPr>
  </w:style>
  <w:style w:type="table" w:styleId="TableGrid">
    <w:name w:val="Table Grid"/>
    <w:basedOn w:val="TableNormal"/>
    <w:uiPriority w:val="59"/>
    <w:rsid w:val="00892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1DCF-F771-4E35-AD8D-C629FF1E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699</Words>
  <Characters>3985</Characters>
  <Application>Microsoft Office Word</Application>
  <DocSecurity>0</DocSecurity>
  <Lines>33</Lines>
  <Paragraphs>9</Paragraphs>
  <ScaleCrop>false</ScaleCrop>
  <Company>Grizli777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dc:description/>
  <cp:lastModifiedBy>Neda</cp:lastModifiedBy>
  <cp:revision>16</cp:revision>
  <dcterms:created xsi:type="dcterms:W3CDTF">2014-05-14T15:43:00Z</dcterms:created>
  <dcterms:modified xsi:type="dcterms:W3CDTF">2021-01-19T07:38:00Z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